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8"/>
          <w:szCs w:val="48"/>
        </w:rPr>
      </w:pPr>
      <w:bookmarkStart w:id="0" w:name="_Hlk54284642"/>
      <w:bookmarkEnd w:id="0"/>
      <w:r>
        <w:rPr>
          <w:rFonts w:hint="eastAsia" w:ascii="宋体" w:hAnsi="宋体" w:eastAsia="宋体"/>
          <w:b/>
          <w:bCs/>
          <w:sz w:val="48"/>
          <w:szCs w:val="48"/>
        </w:rPr>
        <w:t>学生操作手册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005700606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lang w:val="zh-CN"/>
            </w:rPr>
          </w:pPr>
        </w:p>
        <w:p>
          <w:pPr>
            <w:pStyle w:val="17"/>
            <w:jc w:val="center"/>
            <w:rPr>
              <w:rFonts w:ascii="宋体" w:hAnsi="宋体" w:eastAsia="宋体"/>
              <w:b/>
              <w:bCs/>
              <w:color w:val="auto"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7"/>
            <w:rPr>
              <w:rFonts w:cstheme="minorBidi"/>
              <w:b/>
              <w:bCs/>
              <w:kern w:val="2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r>
            <w:fldChar w:fldCharType="begin"/>
          </w:r>
          <w:r>
            <w:instrText xml:space="preserve"> HYPERLINK \l "_Toc148971228" </w:instrText>
          </w:r>
          <w:r>
            <w:fldChar w:fldCharType="separate"/>
          </w:r>
          <w:r>
            <w:rPr>
              <w:rStyle w:val="11"/>
              <w:b/>
              <w:bCs/>
            </w:rPr>
            <w:t>一、登录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_Toc148971228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"_Toc148971229"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登陆方式一：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_Toc148971229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2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"_Toc148971230"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登陆方式二：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_Toc148971230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2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7"/>
            <w:rPr>
              <w:rFonts w:cstheme="minorBidi"/>
              <w:b/>
              <w:bCs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HYPERLINK \l "_Toc148971231" </w:instrText>
          </w:r>
          <w:r>
            <w:fldChar w:fldCharType="separate"/>
          </w:r>
          <w:r>
            <w:rPr>
              <w:rStyle w:val="11"/>
              <w:b/>
              <w:bCs/>
            </w:rPr>
            <w:t>二、师生报题选题阶段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_Toc148971231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7"/>
            <w:rPr>
              <w:rFonts w:cstheme="minorBidi"/>
              <w:b/>
              <w:bCs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HYPERLINK \l "_Toc148971232" </w:instrText>
          </w:r>
          <w:r>
            <w:fldChar w:fldCharType="separate"/>
          </w:r>
          <w:r>
            <w:rPr>
              <w:rStyle w:val="11"/>
              <w:b/>
              <w:bCs/>
            </w:rPr>
            <w:t>三、过程文档管理阶段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_Toc148971232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"_Toc148971233"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1、开题报告的提交及修改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_Toc148971233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7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"_Toc148971234"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2、提交中期检查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_Toc148971234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8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"_Toc148971235"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3、提交诚信承诺书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_Toc148971235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8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"_Toc148971236"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4、提交毕业论文过程稿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_Toc148971236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8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"_Toc148971237"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5、提交毕业论文检测稿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_Toc148971237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9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"_Toc148971238"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6、查看答辩组安排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_Toc148971238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10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7"/>
            <w:rPr>
              <w:rFonts w:cstheme="minorBidi"/>
              <w:b/>
              <w:bCs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HYPERLINK \l "_Toc148971239" </w:instrText>
          </w:r>
          <w:r>
            <w:fldChar w:fldCharType="separate"/>
          </w:r>
          <w:r>
            <w:rPr>
              <w:rStyle w:val="11"/>
              <w:b/>
              <w:bCs/>
            </w:rPr>
            <w:t>四、定稿及导出文档阶段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_Toc148971239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11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"_Toc148971240"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1、提交答辩后定稿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_Toc148971240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11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"_Toc148971241"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b/>
              <w:bCs/>
              <w:sz w:val="32"/>
              <w:szCs w:val="32"/>
            </w:rPr>
            <w:t>2、导出文档归档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ab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instrText xml:space="preserve"> PAGEREF _Toc148971241 \h </w:instrTex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12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rPr>
          <w:rFonts w:ascii="宋体" w:hAnsi="宋体" w:eastAsia="宋体"/>
          <w:b/>
          <w:bCs/>
          <w:color w:val="FF0000"/>
          <w:sz w:val="36"/>
          <w:szCs w:val="36"/>
        </w:rPr>
        <w:br w:type="page"/>
      </w:r>
    </w:p>
    <w:p>
      <w:pPr>
        <w:pStyle w:val="2"/>
        <w:rPr>
          <w:rFonts w:ascii="宋体" w:hAnsi="宋体"/>
          <w:color w:val="FF0000"/>
          <w:szCs w:val="32"/>
        </w:rPr>
      </w:pPr>
      <w:bookmarkStart w:id="1" w:name="_Toc148971228"/>
      <w:r>
        <w:rPr>
          <w:rFonts w:hint="eastAsia" w:ascii="宋体" w:hAnsi="宋体"/>
          <w:color w:val="FF0000"/>
          <w:szCs w:val="32"/>
        </w:rPr>
        <w:t>一、登录</w:t>
      </w:r>
      <w:bookmarkEnd w:id="1"/>
    </w:p>
    <w:p>
      <w:pPr>
        <w:pStyle w:val="3"/>
        <w:rPr>
          <w:rFonts w:ascii="宋体" w:hAnsi="宋体"/>
          <w:color w:val="FF0000"/>
          <w:szCs w:val="30"/>
        </w:rPr>
      </w:pPr>
      <w:bookmarkStart w:id="2" w:name="_Toc148971229"/>
      <w:bookmarkStart w:id="3" w:name="_Hlk148601934"/>
      <w:r>
        <w:rPr>
          <w:rFonts w:hint="eastAsia" w:ascii="宋体" w:hAnsi="宋体"/>
          <w:color w:val="FF0000"/>
          <w:szCs w:val="30"/>
        </w:rPr>
        <w:t>登陆方式一：</w:t>
      </w:r>
      <w:bookmarkEnd w:id="2"/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通过统一身份认证大平台登录毕设系统。首次登陆需要输入知网账号及初始密码，按照系统提示完成初始密码修改，后期登陆可以直接通过统一身份认证大平台登录毕设系统。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954655"/>
            <wp:effectExtent l="0" t="0" r="2540" b="0"/>
            <wp:docPr id="183933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385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/>
          <w:color w:val="FF0000"/>
          <w:szCs w:val="30"/>
        </w:rPr>
      </w:pPr>
      <w:bookmarkStart w:id="4" w:name="_Toc148971230"/>
      <w:r>
        <w:rPr>
          <w:rFonts w:hint="eastAsia" w:ascii="宋体" w:hAnsi="宋体"/>
          <w:color w:val="FF0000"/>
          <w:szCs w:val="30"/>
        </w:rPr>
        <w:t>登陆方式二：</w:t>
      </w:r>
      <w:bookmarkEnd w:id="4"/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通过网址</w:t>
      </w:r>
      <w:r>
        <w:rPr>
          <w:rFonts w:ascii="宋体" w:hAnsi="宋体" w:eastAsia="宋体"/>
          <w:b/>
          <w:bCs/>
          <w:sz w:val="28"/>
          <w:szCs w:val="28"/>
        </w:rPr>
        <w:t>https://co2.cnki.net/login.html?dp=lixin&amp;cas=1</w:t>
      </w:r>
      <w:r>
        <w:rPr>
          <w:rFonts w:hint="eastAsia" w:ascii="宋体" w:hAnsi="宋体" w:eastAsia="宋体"/>
          <w:b/>
          <w:bCs/>
          <w:sz w:val="28"/>
          <w:szCs w:val="28"/>
        </w:rPr>
        <w:t>进入登陆页面，</w:t>
      </w:r>
      <w:bookmarkEnd w:id="3"/>
      <w:r>
        <w:rPr>
          <w:rFonts w:hint="eastAsia" w:ascii="宋体" w:hAnsi="宋体" w:eastAsia="宋体"/>
          <w:b/>
          <w:bCs/>
          <w:sz w:val="28"/>
          <w:szCs w:val="28"/>
        </w:rPr>
        <w:t>选择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学生角色</w:t>
      </w:r>
      <w:r>
        <w:rPr>
          <w:rFonts w:hint="eastAsia" w:ascii="宋体" w:hAnsi="宋体" w:eastAsia="宋体"/>
          <w:b/>
          <w:bCs/>
          <w:sz w:val="28"/>
          <w:szCs w:val="28"/>
        </w:rPr>
        <w:t>，初始账号为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学号</w:t>
      </w:r>
      <w:r>
        <w:rPr>
          <w:rFonts w:hint="eastAsia" w:ascii="宋体" w:hAnsi="宋体" w:eastAsia="宋体"/>
          <w:b/>
          <w:bCs/>
          <w:sz w:val="28"/>
          <w:szCs w:val="28"/>
        </w:rPr>
        <w:t>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（首次登陆必须在电脑端，登陆后绑定微信，可以通过微信扫码登陆系统）</w:t>
      </w:r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在用户设置位置进行个人信息维护，设置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电子签名</w:t>
      </w:r>
      <w:r>
        <w:rPr>
          <w:rFonts w:hint="eastAsia" w:ascii="宋体" w:hAnsi="宋体" w:eastAsia="宋体"/>
          <w:b/>
          <w:bCs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676525"/>
            <wp:effectExtent l="0" t="0" r="2540" b="9525"/>
            <wp:docPr id="1792007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0704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2286000" cy="3721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37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bookmarkStart w:id="5" w:name="_Hlk82609383"/>
      <w:r>
        <w:rPr>
          <w:rFonts w:hint="eastAsia"/>
          <w:sz w:val="28"/>
          <w:szCs w:val="28"/>
        </w:rPr>
        <w:t>学生毕设系统</w:t>
      </w:r>
      <w:r>
        <w:rPr>
          <w:rFonts w:hint="eastAsia"/>
          <w:sz w:val="28"/>
          <w:szCs w:val="28"/>
          <w:lang w:val="en-US" w:eastAsia="zh-CN"/>
        </w:rPr>
        <w:t>有</w:t>
      </w:r>
      <w:r>
        <w:rPr>
          <w:rFonts w:hint="eastAsia"/>
          <w:sz w:val="28"/>
          <w:szCs w:val="28"/>
        </w:rPr>
        <w:t>微信小程序</w:t>
      </w:r>
      <w:r>
        <w:rPr>
          <w:rFonts w:hint="eastAsia"/>
          <w:sz w:val="28"/>
          <w:szCs w:val="28"/>
          <w:lang w:val="en-US" w:eastAsia="zh-CN"/>
        </w:rPr>
        <w:t>提心功能</w:t>
      </w:r>
      <w:r>
        <w:rPr>
          <w:rFonts w:hint="eastAsia"/>
          <w:sz w:val="28"/>
          <w:szCs w:val="28"/>
        </w:rPr>
        <w:t>，登陆首页关注即可。</w:t>
      </w:r>
    </w:p>
    <w:bookmarkEnd w:id="5"/>
    <w:p>
      <w:pPr>
        <w:rPr>
          <w:sz w:val="28"/>
          <w:szCs w:val="28"/>
        </w:rPr>
      </w:pPr>
      <w:r>
        <w:drawing>
          <wp:inline distT="0" distB="0" distL="0" distR="0">
            <wp:extent cx="5274310" cy="2583180"/>
            <wp:effectExtent l="0" t="0" r="2540" b="7620"/>
            <wp:docPr id="352634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3460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"/>
        <w:rPr>
          <w:rFonts w:ascii="宋体" w:hAnsi="宋体"/>
          <w:color w:val="FF0000"/>
          <w:szCs w:val="32"/>
        </w:rPr>
      </w:pPr>
      <w:bookmarkStart w:id="6" w:name="_Toc148971231"/>
      <w:r>
        <w:rPr>
          <w:rFonts w:hint="eastAsia" w:ascii="宋体" w:hAnsi="宋体"/>
          <w:color w:val="FF0000"/>
          <w:szCs w:val="32"/>
        </w:rPr>
        <w:t>二、</w:t>
      </w:r>
      <w:bookmarkStart w:id="7" w:name="_Hlk148602100"/>
      <w:r>
        <w:rPr>
          <w:rFonts w:hint="eastAsia" w:ascii="宋体" w:hAnsi="宋体"/>
          <w:color w:val="FF0000"/>
          <w:szCs w:val="32"/>
        </w:rPr>
        <w:t>师生报题选题阶段</w:t>
      </w:r>
      <w:bookmarkEnd w:id="6"/>
      <w:bookmarkEnd w:id="7"/>
    </w:p>
    <w:p>
      <w:pPr>
        <w:rPr>
          <w:rFonts w:ascii="宋体" w:hAnsi="宋体" w:eastAsia="宋体"/>
          <w:b/>
          <w:bCs/>
          <w:color w:val="FF0000"/>
          <w:sz w:val="30"/>
          <w:szCs w:val="30"/>
          <w:highlight w:val="yellow"/>
        </w:rPr>
      </w:pPr>
      <w:bookmarkStart w:id="8" w:name="_Hlk54283837"/>
      <w:r>
        <w:rPr>
          <w:rFonts w:hint="eastAsia" w:ascii="宋体" w:hAnsi="宋体" w:eastAsia="宋体"/>
          <w:b/>
          <w:bCs/>
          <w:color w:val="FF0000"/>
          <w:sz w:val="30"/>
          <w:szCs w:val="30"/>
          <w:highlight w:val="yellow"/>
        </w:rPr>
        <w:t>达成师生双选关系（四种方式）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方式一：指导教师申报题目-学生选题</w:t>
      </w:r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指导教师申报题目后，学生可进行选题。需在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“选题管理”</w:t>
      </w:r>
      <w:r>
        <w:rPr>
          <w:rFonts w:hint="eastAsia" w:ascii="宋体" w:hAnsi="宋体" w:eastAsia="宋体"/>
          <w:b/>
          <w:bCs/>
          <w:sz w:val="28"/>
          <w:szCs w:val="28"/>
        </w:rPr>
        <w:t>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“学生选题（教师申报题目）”</w:t>
      </w:r>
      <w:r>
        <w:rPr>
          <w:rFonts w:hint="eastAsia" w:ascii="宋体" w:hAnsi="宋体" w:eastAsia="宋体"/>
          <w:b/>
          <w:bCs/>
          <w:sz w:val="28"/>
          <w:szCs w:val="28"/>
        </w:rPr>
        <w:t>处点击“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选择题目”</w:t>
      </w:r>
      <w:r>
        <w:rPr>
          <w:rFonts w:hint="eastAsia" w:ascii="宋体" w:hAnsi="宋体" w:eastAsia="宋体"/>
          <w:b/>
          <w:bCs/>
          <w:sz w:val="28"/>
          <w:szCs w:val="28"/>
        </w:rPr>
        <w:t>，教师审核通过后，师生达成双选关系。</w:t>
      </w:r>
    </w:p>
    <w:p>
      <w:pPr>
        <w:ind w:firstLine="420" w:firstLineChars="200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1689100" cy="2000250"/>
            <wp:effectExtent l="0" t="0" r="6350" b="0"/>
            <wp:docPr id="1673505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0573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9187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002790"/>
            <wp:effectExtent l="0" t="0" r="2540" b="0"/>
            <wp:docPr id="958628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2805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>
      <w:pPr>
        <w:pStyle w:val="12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方式二：指导教师申报题目后指定给与某学生</w:t>
      </w:r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该种方式无需学生操作即可达成双选关系。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方式三：学生申报题目选择指导教师</w:t>
      </w:r>
    </w:p>
    <w:p>
      <w:pPr>
        <w:pStyle w:val="12"/>
        <w:ind w:firstLine="562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“选题管理”</w:t>
      </w:r>
      <w:r>
        <w:rPr>
          <w:rFonts w:hint="eastAsia" w:ascii="宋体" w:hAnsi="宋体" w:eastAsia="宋体"/>
          <w:b/>
          <w:bCs/>
          <w:sz w:val="28"/>
          <w:szCs w:val="28"/>
        </w:rPr>
        <w:t>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“学生申报题目”</w:t>
      </w:r>
      <w:r>
        <w:rPr>
          <w:rFonts w:hint="eastAsia" w:ascii="宋体" w:hAnsi="宋体" w:eastAsia="宋体"/>
          <w:b/>
          <w:bCs/>
          <w:sz w:val="28"/>
          <w:szCs w:val="28"/>
        </w:rPr>
        <w:t>处点击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“录入题目”</w:t>
      </w:r>
      <w:r>
        <w:rPr>
          <w:rFonts w:hint="eastAsia" w:ascii="宋体" w:hAnsi="宋体" w:eastAsia="宋体"/>
          <w:b/>
          <w:bCs/>
          <w:sz w:val="28"/>
          <w:szCs w:val="28"/>
        </w:rPr>
        <w:t>进行题目申报。申报后需指导教师、专业负责人依次审核通过后方可达成双选关系。如需修改题目需要指导教师/专业负责人/教学秘书给允许修改权限，学生再进行修改即可，修改后无需他人再次审核。</w:t>
      </w:r>
    </w:p>
    <w:p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4559300" cy="1733550"/>
            <wp:effectExtent l="0" t="0" r="0" b="0"/>
            <wp:docPr id="386052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5242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534" cy="17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方式四：教学秘书统一导入师生双选关系</w:t>
      </w:r>
    </w:p>
    <w:p>
      <w:pPr>
        <w:pStyle w:val="12"/>
        <w:ind w:left="720" w:firstLine="0"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无需师生线上再次完成双选工作。</w:t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pStyle w:val="2"/>
        <w:rPr>
          <w:color w:val="FF0000"/>
        </w:rPr>
      </w:pPr>
      <w:bookmarkStart w:id="9" w:name="_Toc148971232"/>
      <w:r>
        <w:rPr>
          <w:rFonts w:hint="eastAsia"/>
          <w:color w:val="FF0000"/>
        </w:rPr>
        <w:t>三、过程文档管理阶段</w:t>
      </w:r>
      <w:bookmarkEnd w:id="9"/>
    </w:p>
    <w:p>
      <w:pPr>
        <w:pStyle w:val="3"/>
        <w:rPr>
          <w:color w:val="FF0000"/>
          <w:highlight w:val="yellow"/>
        </w:rPr>
      </w:pPr>
      <w:bookmarkStart w:id="10" w:name="_Toc148971233"/>
      <w:r>
        <w:rPr>
          <w:rFonts w:hint="eastAsia"/>
          <w:color w:val="FF0000"/>
          <w:highlight w:val="yellow"/>
        </w:rPr>
        <w:t>1、开题报告的提交及修改</w:t>
      </w:r>
      <w:bookmarkEnd w:id="10"/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“提交开题报告”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模块提交开题报告内容， 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点击“添加附件”，</w:t>
      </w:r>
      <w:r>
        <w:rPr>
          <w:rFonts w:hint="eastAsia" w:ascii="宋体" w:hAnsi="宋体" w:eastAsia="宋体"/>
          <w:b/>
          <w:bCs/>
          <w:sz w:val="28"/>
          <w:szCs w:val="28"/>
        </w:rPr>
        <w:t>附件格式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可以</w:t>
      </w:r>
      <w:r>
        <w:rPr>
          <w:rFonts w:hint="eastAsia" w:ascii="宋体" w:hAnsi="宋体" w:eastAsia="宋体"/>
          <w:b/>
          <w:bCs/>
          <w:sz w:val="28"/>
          <w:szCs w:val="28"/>
        </w:rPr>
        <w:t>为doc，</w:t>
      </w:r>
      <w:bookmarkStart w:id="20" w:name="_GoBack"/>
      <w:bookmarkEnd w:id="20"/>
      <w:r>
        <w:rPr>
          <w:rFonts w:hint="eastAsia" w:ascii="宋体" w:hAnsi="宋体" w:eastAsia="宋体"/>
          <w:b/>
          <w:bCs/>
          <w:sz w:val="28"/>
          <w:szCs w:val="28"/>
        </w:rPr>
        <w:t>docx，pdf，wps，rar，zip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，若开题报告中涉及公式、图表、特殊符号等，建议上传PDF版本，</w:t>
      </w:r>
      <w:r>
        <w:rPr>
          <w:rFonts w:hint="eastAsia" w:ascii="宋体" w:hAnsi="宋体" w:eastAsia="宋体"/>
          <w:b/>
          <w:bCs/>
          <w:sz w:val="28"/>
          <w:szCs w:val="28"/>
          <w:highlight w:val="red"/>
          <w:lang w:eastAsia="zh-CN"/>
        </w:rPr>
        <w:t>命名方式：学号_姓名_本科毕业论文（设计）开题报告。</w:t>
      </w:r>
      <w:r>
        <w:rPr>
          <w:rFonts w:hint="eastAsia" w:ascii="宋体" w:hAnsi="宋体" w:eastAsia="宋体"/>
          <w:b/>
          <w:bCs/>
          <w:sz w:val="28"/>
          <w:szCs w:val="28"/>
        </w:rPr>
        <w:t>开题报告提交后由指导教师进行审核。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（指导教师审核前，学生可以自行修改开题报告内容，教师审核通过后需教师给与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yellow"/>
        </w:rPr>
        <w:t>“允许修改”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权限，学生才可修改。）</w:t>
      </w:r>
    </w:p>
    <w:p>
      <w:pPr>
        <w:ind w:firstLine="420" w:firstLineChars="200"/>
        <w:jc w:val="left"/>
      </w:pPr>
      <w:r>
        <w:drawing>
          <wp:inline distT="0" distB="0" distL="0" distR="0">
            <wp:extent cx="1022350" cy="527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787650" cy="692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793" cy="6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highlight w:val="yellow"/>
        </w:rPr>
        <w:t>开题答辩</w:t>
      </w:r>
    </w:p>
    <w:p>
      <w:pPr>
        <w:jc w:val="left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“开题答辩”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“查看我参加的开题答辩”</w:t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</w:rPr>
        <w:t>查看开题答辩组安排。</w:t>
      </w:r>
    </w:p>
    <w:p>
      <w:pPr>
        <w:jc w:val="left"/>
        <w:rPr>
          <w:rFonts w:ascii="宋体" w:hAnsi="宋体" w:eastAsia="宋体"/>
          <w:color w:val="FF0000"/>
          <w:sz w:val="28"/>
          <w:szCs w:val="28"/>
        </w:rPr>
      </w:pPr>
      <w:r>
        <w:drawing>
          <wp:inline distT="0" distB="0" distL="0" distR="0">
            <wp:extent cx="1854200" cy="32448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4295" cy="32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  <w:highlight w:val="yellow"/>
        </w:rPr>
      </w:pPr>
      <w:bookmarkStart w:id="11" w:name="_Toc148971234"/>
      <w:r>
        <w:rPr>
          <w:rFonts w:hint="eastAsia"/>
          <w:color w:val="FF0000"/>
          <w:highlight w:val="yellow"/>
        </w:rPr>
        <w:t>2、提交中期检查</w:t>
      </w:r>
      <w:bookmarkEnd w:id="11"/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“提交中期检查”</w:t>
      </w:r>
      <w:r>
        <w:rPr>
          <w:rFonts w:hint="eastAsia" w:ascii="宋体" w:hAnsi="宋体" w:eastAsia="宋体"/>
          <w:b/>
          <w:bCs/>
          <w:sz w:val="28"/>
          <w:szCs w:val="28"/>
        </w:rPr>
        <w:t>处进行提交即可。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（指导教师审核前，学生可以自行修改中期检查内容，教师审核通过后需教师给与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yellow"/>
        </w:rPr>
        <w:t>“允许修改”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权限，学生才可修改。）</w:t>
      </w:r>
    </w:p>
    <w:p>
      <w:pPr>
        <w:jc w:val="left"/>
        <w:rPr>
          <w:rFonts w:ascii="宋体" w:hAnsi="宋体" w:eastAsia="宋体"/>
          <w:b/>
          <w:bCs/>
          <w:color w:val="FF0000"/>
          <w:sz w:val="32"/>
          <w:szCs w:val="32"/>
          <w:highlight w:val="yellow"/>
        </w:rPr>
      </w:pPr>
      <w:r>
        <w:drawing>
          <wp:inline distT="0" distB="0" distL="0" distR="0">
            <wp:extent cx="1204595" cy="7943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615" cy="7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05660" cy="103759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4834" cy="10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361440" cy="9563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6028" cy="9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  <w:highlight w:val="yellow"/>
        </w:rPr>
      </w:pPr>
      <w:bookmarkStart w:id="12" w:name="_Toc148971235"/>
      <w:r>
        <w:rPr>
          <w:rFonts w:hint="eastAsia"/>
          <w:color w:val="FF0000"/>
          <w:highlight w:val="yellow"/>
        </w:rPr>
        <w:t>3、提交诚信承诺书</w:t>
      </w:r>
      <w:bookmarkEnd w:id="12"/>
    </w:p>
    <w:p>
      <w:pPr>
        <w:ind w:firstLine="562" w:firstLineChars="200"/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“提交声明和论文使用的授权”</w:t>
      </w:r>
      <w:r>
        <w:rPr>
          <w:rFonts w:hint="eastAsia" w:ascii="宋体" w:hAnsi="宋体" w:eastAsia="宋体"/>
          <w:b/>
          <w:bCs/>
          <w:sz w:val="28"/>
          <w:szCs w:val="28"/>
        </w:rPr>
        <w:t>处点击提交即可。</w:t>
      </w:r>
    </w:p>
    <w:p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5067300" cy="195580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  <w:highlight w:val="yellow"/>
        </w:rPr>
      </w:pPr>
      <w:bookmarkStart w:id="13" w:name="_Toc148971236"/>
      <w:r>
        <w:rPr>
          <w:rFonts w:hint="eastAsia"/>
          <w:color w:val="FF0000"/>
          <w:highlight w:val="yellow"/>
        </w:rPr>
        <w:t>4、提交毕业论文过程稿</w:t>
      </w:r>
      <w:bookmarkEnd w:id="13"/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“提交过程稿”</w:t>
      </w:r>
      <w:r>
        <w:rPr>
          <w:rFonts w:hint="eastAsia" w:ascii="宋体" w:hAnsi="宋体" w:eastAsia="宋体"/>
          <w:b/>
          <w:bCs/>
          <w:sz w:val="28"/>
          <w:szCs w:val="28"/>
        </w:rPr>
        <w:t>处进行提交毕业论文过程稿，需将论文上传至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“上传论文（不检测）”</w:t>
      </w:r>
      <w:r>
        <w:rPr>
          <w:rFonts w:hint="eastAsia" w:ascii="宋体" w:hAnsi="宋体" w:eastAsia="宋体"/>
          <w:b/>
          <w:bCs/>
          <w:sz w:val="28"/>
          <w:szCs w:val="28"/>
        </w:rPr>
        <w:t>的位置。附件位置可用于提交与论文相关的视频、音频、图片等材料，没有附件可以不传。</w:t>
      </w:r>
      <w:bookmarkStart w:id="14" w:name="_Hlk148970211"/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（该版本论文无论指导教师是否审核通过，都可以再次提交新版本，不限制提交总次数。）</w:t>
      </w:r>
    </w:p>
    <w:bookmarkEnd w:id="14"/>
    <w:p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3981450" cy="2063750"/>
            <wp:effectExtent l="0" t="0" r="0" b="0"/>
            <wp:docPr id="521234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42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1655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5274310" cy="1273810"/>
            <wp:effectExtent l="0" t="0" r="2540" b="2540"/>
            <wp:docPr id="141667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793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  <w:highlight w:val="yellow"/>
        </w:rPr>
      </w:pPr>
      <w:bookmarkStart w:id="15" w:name="_Toc148971237"/>
      <w:r>
        <w:rPr>
          <w:rFonts w:hint="eastAsia"/>
          <w:color w:val="FF0000"/>
          <w:highlight w:val="yellow"/>
        </w:rPr>
        <w:t>5、提交毕业论文检测稿</w:t>
      </w:r>
      <w:bookmarkEnd w:id="15"/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“提交毕业设计（论文）检测稿”</w:t>
      </w:r>
      <w:r>
        <w:rPr>
          <w:rFonts w:hint="eastAsia" w:ascii="宋体" w:hAnsi="宋体" w:eastAsia="宋体"/>
          <w:b/>
          <w:bCs/>
          <w:sz w:val="28"/>
          <w:szCs w:val="28"/>
        </w:rPr>
        <w:t>处进行提交论文检测，需将论文上传至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“上传论文（待检测）”</w:t>
      </w:r>
      <w:r>
        <w:rPr>
          <w:rFonts w:hint="eastAsia" w:ascii="宋体" w:hAnsi="宋体" w:eastAsia="宋体"/>
          <w:b/>
          <w:bCs/>
          <w:sz w:val="28"/>
          <w:szCs w:val="28"/>
        </w:rPr>
        <w:t>的位置。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（学生提交论文后教师审核前仍可修改论文内容，教师审核通过后自动进入检测程序进行检测，该论文则不允许再被修改。）</w:t>
      </w:r>
    </w:p>
    <w:p>
      <w:pPr>
        <w:jc w:val="left"/>
      </w:pPr>
      <w:r>
        <w:drawing>
          <wp:inline distT="0" distB="0" distL="0" distR="0">
            <wp:extent cx="1240155" cy="1326515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7305" cy="13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 xml:space="preserve"> </w:t>
      </w:r>
      <w:r>
        <w:drawing>
          <wp:inline distT="0" distB="0" distL="0" distR="0">
            <wp:extent cx="4562475" cy="20580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042" cy="20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  <w:highlight w:val="yellow"/>
        </w:rPr>
      </w:pPr>
      <w:bookmarkStart w:id="16" w:name="_Toc148971238"/>
      <w:r>
        <w:rPr>
          <w:rFonts w:hint="eastAsia"/>
          <w:color w:val="FF0000"/>
          <w:highlight w:val="yellow"/>
        </w:rPr>
        <w:t>6、查看答辩组安排</w:t>
      </w:r>
      <w:bookmarkEnd w:id="16"/>
    </w:p>
    <w:p>
      <w:pPr>
        <w:jc w:val="left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“评审答辩和成绩管理”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“查看我参加的答辩”</w:t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</w:rPr>
        <w:t>查看答辩组安排。</w:t>
      </w:r>
    </w:p>
    <w:p>
      <w:pPr>
        <w:jc w:val="left"/>
      </w:pPr>
      <w:r>
        <w:drawing>
          <wp:inline distT="0" distB="0" distL="0" distR="0">
            <wp:extent cx="1529715" cy="27622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2645" cy="27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br w:type="page"/>
      </w:r>
    </w:p>
    <w:p>
      <w:pPr>
        <w:pStyle w:val="2"/>
        <w:rPr>
          <w:color w:val="FF0000"/>
        </w:rPr>
      </w:pPr>
      <w:bookmarkStart w:id="17" w:name="_Toc148971239"/>
      <w:r>
        <w:rPr>
          <w:rFonts w:hint="eastAsia"/>
          <w:color w:val="FF0000"/>
        </w:rPr>
        <w:t>四、定稿及导出文档阶段</w:t>
      </w:r>
      <w:bookmarkEnd w:id="17"/>
    </w:p>
    <w:p>
      <w:pPr>
        <w:pStyle w:val="3"/>
        <w:rPr>
          <w:color w:val="FF0000"/>
          <w:highlight w:val="yellow"/>
        </w:rPr>
      </w:pPr>
      <w:bookmarkStart w:id="18" w:name="_Toc148971240"/>
      <w:r>
        <w:rPr>
          <w:rFonts w:hint="eastAsia"/>
          <w:color w:val="FF0000"/>
          <w:highlight w:val="yellow"/>
        </w:rPr>
        <w:t>1、提交答辩后定稿</w:t>
      </w:r>
      <w:bookmarkEnd w:id="18"/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若学生答辩后对自己的论文又进行了部分修改，可于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“提交毕业设计（论文）答辩后定稿”</w:t>
      </w:r>
      <w:r>
        <w:rPr>
          <w:rFonts w:hint="eastAsia" w:ascii="宋体" w:hAnsi="宋体" w:eastAsia="宋体"/>
          <w:b/>
          <w:bCs/>
          <w:sz w:val="28"/>
          <w:szCs w:val="28"/>
        </w:rPr>
        <w:t>的位置提交。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1924050" cy="22161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4149" cy="22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67990" cy="171704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7567" cy="172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pStyle w:val="3"/>
        <w:rPr>
          <w:color w:val="FF0000"/>
        </w:rPr>
      </w:pPr>
      <w:bookmarkStart w:id="19" w:name="_Toc148971241"/>
      <w:r>
        <w:rPr>
          <w:rFonts w:hint="eastAsia"/>
          <w:color w:val="FF0000"/>
          <w:highlight w:val="yellow"/>
        </w:rPr>
        <w:t>2、导出文档归档</w:t>
      </w:r>
      <w:bookmarkEnd w:id="19"/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“首页”</w:t>
      </w:r>
      <w:r>
        <w:rPr>
          <w:rFonts w:hint="eastAsia" w:ascii="宋体" w:hAnsi="宋体" w:eastAsia="宋体"/>
          <w:b/>
          <w:bCs/>
          <w:sz w:val="28"/>
          <w:szCs w:val="28"/>
        </w:rPr>
        <w:t>点击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“导出已配置的文档”</w:t>
      </w:r>
      <w:r>
        <w:rPr>
          <w:rFonts w:hint="eastAsia" w:ascii="宋体" w:hAnsi="宋体" w:eastAsia="宋体"/>
          <w:b/>
          <w:bCs/>
          <w:sz w:val="28"/>
          <w:szCs w:val="28"/>
        </w:rPr>
        <w:t>即可导出文档进行归档。导出以后，96小时内可以在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“下载已导出的文档”</w:t>
      </w:r>
      <w:r>
        <w:rPr>
          <w:rFonts w:hint="eastAsia" w:ascii="宋体" w:hAnsi="宋体" w:eastAsia="宋体"/>
          <w:b/>
          <w:bCs/>
          <w:sz w:val="28"/>
          <w:szCs w:val="28"/>
        </w:rPr>
        <w:t>页面直接下载已导出的内容。</w:t>
      </w:r>
    </w:p>
    <w:p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4332605" cy="37826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8003" cy="37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F536E1"/>
    <w:multiLevelType w:val="multilevel"/>
    <w:tmpl w:val="1FF536E1"/>
    <w:lvl w:ilvl="0" w:tentative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entative="0">
      <w:start w:val="3"/>
      <w:numFmt w:val="japaneseCounting"/>
      <w:lvlText w:val="%2、"/>
      <w:lvlJc w:val="left"/>
      <w:pPr>
        <w:ind w:left="1160" w:hanging="74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mNTAxYTA0NTllZTU0OWY5NWY0MWNlMzBjNGU2OTYifQ=="/>
  </w:docVars>
  <w:rsids>
    <w:rsidRoot w:val="000E2833"/>
    <w:rsid w:val="000025EE"/>
    <w:rsid w:val="00032A69"/>
    <w:rsid w:val="00057FA3"/>
    <w:rsid w:val="000A724D"/>
    <w:rsid w:val="000D468A"/>
    <w:rsid w:val="000E2833"/>
    <w:rsid w:val="001326C1"/>
    <w:rsid w:val="001430FF"/>
    <w:rsid w:val="00166B41"/>
    <w:rsid w:val="00194120"/>
    <w:rsid w:val="00233D9D"/>
    <w:rsid w:val="00275219"/>
    <w:rsid w:val="002764AA"/>
    <w:rsid w:val="00292394"/>
    <w:rsid w:val="00350842"/>
    <w:rsid w:val="00374A40"/>
    <w:rsid w:val="004575D6"/>
    <w:rsid w:val="0047322A"/>
    <w:rsid w:val="004C6E32"/>
    <w:rsid w:val="0050092B"/>
    <w:rsid w:val="0050642E"/>
    <w:rsid w:val="005228D6"/>
    <w:rsid w:val="00546AB5"/>
    <w:rsid w:val="005643FE"/>
    <w:rsid w:val="005B26BF"/>
    <w:rsid w:val="005F4F70"/>
    <w:rsid w:val="00693265"/>
    <w:rsid w:val="00695E98"/>
    <w:rsid w:val="006979AB"/>
    <w:rsid w:val="006D4B9C"/>
    <w:rsid w:val="006D6A6E"/>
    <w:rsid w:val="00701948"/>
    <w:rsid w:val="00717E22"/>
    <w:rsid w:val="00723253"/>
    <w:rsid w:val="007259BF"/>
    <w:rsid w:val="007E7A6B"/>
    <w:rsid w:val="00814128"/>
    <w:rsid w:val="008255D6"/>
    <w:rsid w:val="008261BE"/>
    <w:rsid w:val="0083298A"/>
    <w:rsid w:val="008E7C5C"/>
    <w:rsid w:val="0093688B"/>
    <w:rsid w:val="009374D3"/>
    <w:rsid w:val="009A1A55"/>
    <w:rsid w:val="009B47B9"/>
    <w:rsid w:val="009C2FBA"/>
    <w:rsid w:val="00A0653A"/>
    <w:rsid w:val="00A70F2E"/>
    <w:rsid w:val="00AB4762"/>
    <w:rsid w:val="00AC712B"/>
    <w:rsid w:val="00B62330"/>
    <w:rsid w:val="00B70D6E"/>
    <w:rsid w:val="00BC3B3F"/>
    <w:rsid w:val="00C33EEA"/>
    <w:rsid w:val="00C447AD"/>
    <w:rsid w:val="00CE4C37"/>
    <w:rsid w:val="00DA0956"/>
    <w:rsid w:val="00DD5CCC"/>
    <w:rsid w:val="00E04B0A"/>
    <w:rsid w:val="00E12D67"/>
    <w:rsid w:val="00E319A3"/>
    <w:rsid w:val="00E70122"/>
    <w:rsid w:val="00E91F2F"/>
    <w:rsid w:val="00F85599"/>
    <w:rsid w:val="00FB38F6"/>
    <w:rsid w:val="0C4B482C"/>
    <w:rsid w:val="6D6C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/>
      <w:bCs/>
      <w:sz w:val="30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  <w:pPr>
      <w:widowControl/>
      <w:tabs>
        <w:tab w:val="right" w:leader="dot" w:pos="8296"/>
      </w:tabs>
      <w:spacing w:after="100" w:line="259" w:lineRule="auto"/>
      <w:jc w:val="left"/>
    </w:pPr>
    <w:rPr>
      <w:rFonts w:ascii="宋体" w:hAnsi="宋体" w:eastAsia="宋体" w:cs="Times New Roman"/>
      <w:kern w:val="0"/>
      <w:sz w:val="32"/>
      <w:szCs w:val="32"/>
    </w:rPr>
  </w:style>
  <w:style w:type="paragraph" w:styleId="8">
    <w:name w:val="toc 2"/>
    <w:basedOn w:val="1"/>
    <w:next w:val="1"/>
    <w:unhideWhenUsed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6"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uiPriority w:val="9"/>
    <w:rPr>
      <w:rFonts w:eastAsia="宋体"/>
      <w:b/>
      <w:bCs/>
      <w:kern w:val="44"/>
      <w:sz w:val="32"/>
      <w:szCs w:val="44"/>
    </w:rPr>
  </w:style>
  <w:style w:type="character" w:customStyle="1" w:styleId="16">
    <w:name w:val="标题 2 字符"/>
    <w:basedOn w:val="10"/>
    <w:link w:val="3"/>
    <w:uiPriority w:val="9"/>
    <w:rPr>
      <w:rFonts w:eastAsia="宋体" w:asciiTheme="majorHAnsi" w:hAnsiTheme="majorHAnsi" w:cstheme="majorBidi"/>
      <w:b/>
      <w:bCs/>
      <w:sz w:val="30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6CC3F-9FB1-42D8-953C-912E1DE723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379</Words>
  <Characters>2162</Characters>
  <Lines>18</Lines>
  <Paragraphs>5</Paragraphs>
  <TotalTime>281</TotalTime>
  <ScaleCrop>false</ScaleCrop>
  <LinksUpToDate>false</LinksUpToDate>
  <CharactersWithSpaces>2536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2022-09-10T09:32:00Z</dcterms:created>
  <dc:creator>刘 亚欣</dc:creator>
  <cp:lastModifiedBy>曹佳佳</cp:lastModifiedBy>
  <dcterms:modified xsi:type="dcterms:W3CDTF">2023-10-26T07:32:18Z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2D65F974B70249218FB7C8C9C8B01524_12</vt:lpwstr>
  </property>
</Properties>
</file>